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67" w:rsidRPr="006E06FE" w:rsidRDefault="006354F3" w:rsidP="003E4567">
      <w:pPr>
        <w:spacing w:after="0" w:line="240" w:lineRule="auto"/>
        <w:jc w:val="both"/>
        <w:rPr>
          <w:rFonts w:ascii="Arial" w:eastAsia="Times New Roman" w:hAnsi="Arial" w:cs="Arial"/>
          <w:color w:val="333333"/>
          <w:sz w:val="24"/>
          <w:szCs w:val="24"/>
          <w:lang w:eastAsia="it-IT"/>
        </w:rPr>
      </w:pPr>
      <w:r w:rsidRPr="006354F3">
        <w:rPr>
          <w:b/>
          <w:sz w:val="32"/>
          <w:szCs w:val="32"/>
        </w:rPr>
        <w:t xml:space="preserve">Condizioni economiche </w:t>
      </w:r>
      <w:r w:rsidR="003E4567">
        <w:rPr>
          <w:b/>
          <w:sz w:val="32"/>
          <w:szCs w:val="32"/>
        </w:rPr>
        <w:t xml:space="preserve">VUS COM PLACET </w:t>
      </w:r>
      <w:r w:rsidR="002C668C" w:rsidRPr="002C668C">
        <w:rPr>
          <w:b/>
          <w:color w:val="FF0000"/>
          <w:sz w:val="32"/>
          <w:szCs w:val="32"/>
        </w:rPr>
        <w:t>FISSO</w:t>
      </w:r>
      <w:r w:rsidR="003E4567">
        <w:rPr>
          <w:b/>
          <w:sz w:val="32"/>
          <w:szCs w:val="32"/>
        </w:rPr>
        <w:t xml:space="preserve"> </w:t>
      </w:r>
      <w:r w:rsidR="003E4567" w:rsidRPr="006E06FE">
        <w:rPr>
          <w:rFonts w:ascii="Arial" w:eastAsia="Times New Roman" w:hAnsi="Arial" w:cs="Arial"/>
          <w:b/>
          <w:color w:val="333333"/>
          <w:sz w:val="24"/>
          <w:szCs w:val="24"/>
          <w:u w:val="single"/>
          <w:lang w:eastAsia="it-IT"/>
        </w:rPr>
        <w:t>Domestico</w:t>
      </w:r>
      <w:r w:rsidR="003E4567" w:rsidRPr="00C86304">
        <w:rPr>
          <w:rFonts w:ascii="Arial" w:eastAsia="Times New Roman" w:hAnsi="Arial" w:cs="Arial"/>
          <w:b/>
          <w:color w:val="333333"/>
          <w:sz w:val="24"/>
          <w:szCs w:val="24"/>
          <w:u w:val="single"/>
          <w:lang w:eastAsia="it-IT"/>
        </w:rPr>
        <w:t xml:space="preserve"> / Condominio* / Altri usi*</w:t>
      </w:r>
      <w:r w:rsidR="003E4567" w:rsidRPr="006E06FE">
        <w:rPr>
          <w:rFonts w:ascii="Arial" w:eastAsia="Times New Roman" w:hAnsi="Arial" w:cs="Arial"/>
          <w:color w:val="333333"/>
          <w:sz w:val="24"/>
          <w:szCs w:val="24"/>
          <w:lang w:eastAsia="it-IT"/>
        </w:rPr>
        <w:t> </w:t>
      </w:r>
      <w:r w:rsidR="003E4567" w:rsidRPr="00DF2A3D">
        <w:rPr>
          <w:rFonts w:ascii="Arial" w:eastAsia="Times New Roman" w:hAnsi="Arial" w:cs="Arial"/>
          <w:color w:val="333333"/>
          <w:sz w:val="24"/>
          <w:szCs w:val="24"/>
          <w:lang w:eastAsia="it-IT"/>
        </w:rPr>
        <w:t xml:space="preserve"> </w:t>
      </w:r>
      <w:r w:rsidR="003E4567" w:rsidRPr="003E4567">
        <w:rPr>
          <w:rFonts w:ascii="Arial" w:eastAsia="Times New Roman" w:hAnsi="Arial" w:cs="Arial"/>
          <w:b/>
          <w:color w:val="333333"/>
          <w:sz w:val="24"/>
          <w:szCs w:val="24"/>
          <w:u w:val="single"/>
          <w:lang w:eastAsia="it-IT"/>
        </w:rPr>
        <w:t>per il gas</w:t>
      </w:r>
      <w:r w:rsidR="003E4567" w:rsidRPr="006E06FE">
        <w:rPr>
          <w:rFonts w:ascii="Arial" w:eastAsia="Times New Roman" w:hAnsi="Arial" w:cs="Arial"/>
          <w:color w:val="333333"/>
          <w:sz w:val="24"/>
          <w:szCs w:val="24"/>
          <w:lang w:eastAsia="it-IT"/>
        </w:rPr>
        <w:t xml:space="preserve"> </w:t>
      </w:r>
    </w:p>
    <w:p w:rsidR="000B5488" w:rsidRPr="006354F3" w:rsidRDefault="003E4567" w:rsidP="003E4567">
      <w:pPr>
        <w:shd w:val="clear" w:color="auto" w:fill="FFFFFF"/>
        <w:spacing w:after="300" w:line="420" w:lineRule="atLeast"/>
        <w:jc w:val="center"/>
        <w:rPr>
          <w:b/>
          <w:sz w:val="32"/>
          <w:szCs w:val="32"/>
        </w:rPr>
      </w:pPr>
      <w:r w:rsidRPr="006E06FE">
        <w:rPr>
          <w:rFonts w:ascii="Arial" w:eastAsia="Times New Roman" w:hAnsi="Arial" w:cs="Arial"/>
          <w:i/>
          <w:iCs/>
          <w:color w:val="333333"/>
          <w:sz w:val="18"/>
          <w:szCs w:val="18"/>
          <w:lang w:eastAsia="it-IT"/>
        </w:rPr>
        <w:t>*PLACET: Prezzo Libero A Condizioni Equiparate di Tutela</w:t>
      </w:r>
      <w:r w:rsidRPr="00DF2A3D">
        <w:rPr>
          <w:rFonts w:ascii="Arial" w:eastAsia="Times New Roman" w:hAnsi="Arial" w:cs="Arial"/>
          <w:i/>
          <w:iCs/>
          <w:color w:val="333333"/>
          <w:sz w:val="18"/>
          <w:szCs w:val="18"/>
          <w:lang w:eastAsia="it-IT"/>
        </w:rPr>
        <w:t xml:space="preserve"> (per i Condomini e Altri Usi fino a 200.000 </w:t>
      </w:r>
      <w:proofErr w:type="spellStart"/>
      <w:r w:rsidRPr="00DF2A3D">
        <w:rPr>
          <w:rFonts w:ascii="Arial" w:eastAsia="Times New Roman" w:hAnsi="Arial" w:cs="Arial"/>
          <w:i/>
          <w:iCs/>
          <w:color w:val="333333"/>
          <w:sz w:val="18"/>
          <w:szCs w:val="18"/>
          <w:lang w:eastAsia="it-IT"/>
        </w:rPr>
        <w:t>stmc</w:t>
      </w:r>
      <w:proofErr w:type="spellEnd"/>
      <w:r w:rsidRPr="00DF2A3D">
        <w:rPr>
          <w:rFonts w:ascii="Arial" w:eastAsia="Times New Roman" w:hAnsi="Arial" w:cs="Arial"/>
          <w:i/>
          <w:iCs/>
          <w:color w:val="333333"/>
          <w:sz w:val="18"/>
          <w:szCs w:val="18"/>
          <w:lang w:eastAsia="it-IT"/>
        </w:rPr>
        <w:t>/anno)</w:t>
      </w:r>
    </w:p>
    <w:p w:rsidR="006354F3" w:rsidRDefault="006354F3">
      <w:r>
        <w:t xml:space="preserve">Valide dal </w:t>
      </w:r>
      <w:r w:rsidRPr="0042255D">
        <w:rPr>
          <w:b/>
        </w:rPr>
        <w:t>1</w:t>
      </w:r>
      <w:r w:rsidR="0042255D" w:rsidRPr="0042255D">
        <w:rPr>
          <w:b/>
        </w:rPr>
        <w:t>6/LUG</w:t>
      </w:r>
      <w:r w:rsidRPr="0042255D">
        <w:rPr>
          <w:b/>
        </w:rPr>
        <w:t>/18</w:t>
      </w:r>
      <w:r>
        <w:t xml:space="preserve"> sul Mercato Libero</w:t>
      </w:r>
      <w:r w:rsidR="003E4567">
        <w:t xml:space="preserve"> per la Regione Umbria</w:t>
      </w:r>
    </w:p>
    <w:p w:rsidR="006354F3" w:rsidRPr="006354F3" w:rsidRDefault="006354F3" w:rsidP="006354F3">
      <w:pPr>
        <w:jc w:val="both"/>
        <w:rPr>
          <w:i/>
        </w:rPr>
      </w:pPr>
      <w:r w:rsidRPr="006354F3">
        <w:rPr>
          <w:i/>
        </w:rPr>
        <w:t>Il Contratto ha per oggetto esclusivo la somministrazione di gas naturale. È esclusa la fornitura di servizi o prodotti aggiuntivi, anche mediante la sottoscrizione di patti aggiuntivi e integrativi. del presente Contratto</w:t>
      </w:r>
    </w:p>
    <w:p w:rsidR="002C668C" w:rsidRDefault="002C668C" w:rsidP="006354F3">
      <w:pPr>
        <w:jc w:val="both"/>
      </w:pPr>
      <w:r>
        <w:t xml:space="preserve">Le presenti Condizioni Economiche sono pensate per clienti con consumi annui fino a 200.000 </w:t>
      </w:r>
      <w:proofErr w:type="spellStart"/>
      <w:r>
        <w:t>Smc</w:t>
      </w:r>
      <w:proofErr w:type="spellEnd"/>
      <w:r>
        <w:t>. Per la somministrazione di gas naturale sono fatturate al Cliente le seguenti voci di spesa: la Spesa per la materia gas naturale, la Spesa per il trasporto del gas naturale e la gestione del contatore e la Spesa per oneri di sistema, come definite da ARERA nel Glossario della Bolletta 2.0, come di seguito esposte. Rientra nella Spesa per la materia gas naturale il Corrispettivo Fisso Gas espresso in €/mese e il Corrispettivo Variabile Gas espresso in €/</w:t>
      </w:r>
      <w:proofErr w:type="spellStart"/>
      <w:r>
        <w:t>Smc</w:t>
      </w:r>
      <w:proofErr w:type="spellEnd"/>
      <w:r>
        <w:t>, entrambi invariabili per i primi 12 mesi a partire dalla data di inizio della somministrazione. Il Corrispettivo Variabile Gas è applicato al gas naturale prelevato con riferimento ad un potere calorifico superiore convenzionale “P” (PCS) pari a 0,03852 GJ/</w:t>
      </w:r>
      <w:proofErr w:type="spellStart"/>
      <w:r>
        <w:t>Smc</w:t>
      </w:r>
      <w:proofErr w:type="spellEnd"/>
      <w:r>
        <w:t>.</w:t>
      </w:r>
    </w:p>
    <w:p w:rsidR="002C668C" w:rsidRDefault="002C668C" w:rsidP="006354F3">
      <w:pPr>
        <w:jc w:val="both"/>
      </w:pPr>
      <w:r>
        <w:t xml:space="preserve">Rientrano nella Spesa per il trasporto del gas naturale e la gestione del contatore e nella Spesa per oneri di sistema i corrispettivi pari ai costi e agli oneri sostenuti da VUS COM in relazione ai servizi di trasporto, distribuzione e misura del gas. Ad eccezione del Corrispettivo Fisso Gas e del Corrispettivo Variabile Gas, tutti i suddetti corrispettivi e componenti tariffarie sono indicati nel TIVG e i relativi valori e le eventuali variazioni sono pubblicati e aggiornati periodicamente da ARERA. Saranno fatturati al Cliente ulteriori oneri, corrispettivi e/o componenti tariffarie eventualmente introdotti dalle competenti autorità nelle condizioni economiche di riferimento, anche (ma non esclusivamente) in sostituzione di altri precedentemente previsti dalla normativa di settore. In sede di fatturazione, i corrispettivi e le componenti di cui sopra saranno applicati ai volumi con riferimento al potere calorifico superiore convenzionale “P” (PCS) relativo all’impianto di distribuzione cui è connesso il </w:t>
      </w:r>
      <w:proofErr w:type="spellStart"/>
      <w:r>
        <w:t>PdR</w:t>
      </w:r>
      <w:proofErr w:type="spellEnd"/>
      <w:r>
        <w:t xml:space="preserve">, secondo le disposizioni del TIVG. Nel caso in cui il </w:t>
      </w:r>
      <w:proofErr w:type="spellStart"/>
      <w:r>
        <w:t>PdR</w:t>
      </w:r>
      <w:proofErr w:type="spellEnd"/>
      <w:r>
        <w:t xml:space="preserve"> non sia dotato di apparecchiatura per la correzione delle misure alle condizioni standard, la correzione ai fini della fatturazione dei volumi misurati avverrà in base al valore del coefficiente C applicabile, secondo le disposizioni del TIVG. Oltre ai corrispettivi sopra definiti, il Cliente è tenuto a corrispondere le imposte relative al Contratto di cui all’Art. 13 delle CGC e le cui aliquote sono consultabili sul portale VUS COM.</w:t>
      </w:r>
    </w:p>
    <w:p w:rsidR="006354F3" w:rsidRDefault="006354F3" w:rsidP="006354F3">
      <w:pPr>
        <w:jc w:val="both"/>
      </w:pPr>
      <w:r>
        <w:t xml:space="preserve">Di seguito sono riportati i valori del </w:t>
      </w:r>
      <w:r w:rsidRPr="00DB5CEF">
        <w:rPr>
          <w:u w:val="single"/>
        </w:rPr>
        <w:t>Corrispettivo Fisso Gas</w:t>
      </w:r>
      <w:r>
        <w:t xml:space="preserve"> e del </w:t>
      </w:r>
      <w:r w:rsidRPr="00DB5CEF">
        <w:rPr>
          <w:u w:val="single"/>
        </w:rPr>
        <w:t>Parametro Alfa</w:t>
      </w:r>
      <w:r>
        <w:t>:</w:t>
      </w:r>
    </w:p>
    <w:p w:rsidR="006354F3" w:rsidRDefault="006354F3" w:rsidP="006354F3">
      <w:pPr>
        <w:jc w:val="both"/>
      </w:pPr>
      <w:r>
        <w:t xml:space="preserve">Valori dei diversi corrispettivi e relativa incidenza percentuale media sulla spesa annua ante imposte di un cliente tipo che consuma 1.000 </w:t>
      </w:r>
      <w:proofErr w:type="spellStart"/>
      <w:r>
        <w:t>Smc</w:t>
      </w:r>
      <w:proofErr w:type="spellEnd"/>
      <w:r>
        <w:t xml:space="preserve"> all’anno nell’ambito  </w:t>
      </w:r>
      <w:r w:rsidRPr="006354F3">
        <w:rPr>
          <w:b/>
        </w:rPr>
        <w:t>REGIONE UMBRIA</w:t>
      </w:r>
    </w:p>
    <w:p w:rsidR="006354F3" w:rsidRPr="006354F3" w:rsidRDefault="006354F3" w:rsidP="006354F3">
      <w:pPr>
        <w:jc w:val="both"/>
        <w:rPr>
          <w:highlight w:val="yellow"/>
        </w:rPr>
      </w:pPr>
      <w:r w:rsidRPr="006354F3">
        <w:rPr>
          <w:highlight w:val="yellow"/>
        </w:rPr>
        <w:t>Corrispettivo Fisso Gas</w:t>
      </w:r>
      <w:r>
        <w:rPr>
          <w:highlight w:val="yellow"/>
        </w:rPr>
        <w:t xml:space="preserve">  </w:t>
      </w:r>
      <w:r w:rsidRPr="006354F3">
        <w:rPr>
          <w:highlight w:val="yellow"/>
        </w:rPr>
        <w:t xml:space="preserve"> </w:t>
      </w:r>
      <w:r>
        <w:rPr>
          <w:highlight w:val="yellow"/>
        </w:rPr>
        <w:t xml:space="preserve"> </w:t>
      </w:r>
      <w:r w:rsidRPr="00DB5CEF">
        <w:rPr>
          <w:b/>
          <w:highlight w:val="yellow"/>
        </w:rPr>
        <w:t>5,0 €/mese</w:t>
      </w:r>
      <w:r w:rsidRPr="006354F3">
        <w:rPr>
          <w:highlight w:val="yellow"/>
        </w:rPr>
        <w:t xml:space="preserve"> </w:t>
      </w:r>
      <w:r>
        <w:rPr>
          <w:highlight w:val="yellow"/>
        </w:rPr>
        <w:t xml:space="preserve"> (DOM</w:t>
      </w:r>
      <w:r w:rsidR="00DB5CEF">
        <w:rPr>
          <w:highlight w:val="yellow"/>
        </w:rPr>
        <w:t>ESTICO</w:t>
      </w:r>
      <w:r>
        <w:rPr>
          <w:highlight w:val="yellow"/>
        </w:rPr>
        <w:t xml:space="preserve">) </w:t>
      </w:r>
      <w:r w:rsidR="00DB5CEF">
        <w:rPr>
          <w:highlight w:val="yellow"/>
        </w:rPr>
        <w:t>oppure</w:t>
      </w:r>
      <w:r>
        <w:rPr>
          <w:highlight w:val="yellow"/>
        </w:rPr>
        <w:t xml:space="preserve">  </w:t>
      </w:r>
      <w:r w:rsidRPr="006354F3">
        <w:rPr>
          <w:highlight w:val="yellow"/>
        </w:rPr>
        <w:t xml:space="preserve"> </w:t>
      </w:r>
      <w:r w:rsidRPr="00DB5CEF">
        <w:rPr>
          <w:b/>
          <w:highlight w:val="yellow"/>
        </w:rPr>
        <w:t>6,5   €/mese</w:t>
      </w:r>
      <w:r w:rsidRPr="006354F3">
        <w:rPr>
          <w:highlight w:val="yellow"/>
        </w:rPr>
        <w:t xml:space="preserve"> </w:t>
      </w:r>
      <w:r>
        <w:rPr>
          <w:highlight w:val="yellow"/>
        </w:rPr>
        <w:t xml:space="preserve"> (CONDOM / Altri Usi &lt; 200 mila </w:t>
      </w:r>
      <w:proofErr w:type="spellStart"/>
      <w:r>
        <w:rPr>
          <w:highlight w:val="yellow"/>
        </w:rPr>
        <w:t>stmc</w:t>
      </w:r>
      <w:proofErr w:type="spellEnd"/>
      <w:r>
        <w:rPr>
          <w:highlight w:val="yellow"/>
        </w:rPr>
        <w:t>/anno)</w:t>
      </w:r>
      <w:r w:rsidRPr="006354F3">
        <w:rPr>
          <w:highlight w:val="yellow"/>
        </w:rPr>
        <w:t xml:space="preserve">          13%</w:t>
      </w:r>
    </w:p>
    <w:p w:rsidR="006354F3" w:rsidRPr="006354F3" w:rsidRDefault="005B7128" w:rsidP="006354F3">
      <w:pPr>
        <w:rPr>
          <w:highlight w:val="yellow"/>
        </w:rPr>
      </w:pPr>
      <w:r>
        <w:rPr>
          <w:highlight w:val="yellow"/>
        </w:rPr>
        <w:t xml:space="preserve">Corrispettivo Variabile </w:t>
      </w:r>
      <w:r w:rsidR="006354F3" w:rsidRPr="006354F3">
        <w:rPr>
          <w:highlight w:val="yellow"/>
        </w:rPr>
        <w:t xml:space="preserve"> Gas                                  </w:t>
      </w:r>
      <w:r>
        <w:rPr>
          <w:highlight w:val="yellow"/>
        </w:rPr>
        <w:t xml:space="preserve">        </w:t>
      </w:r>
      <w:r w:rsidR="006354F3" w:rsidRPr="006354F3">
        <w:rPr>
          <w:highlight w:val="yellow"/>
        </w:rPr>
        <w:t xml:space="preserve">        </w:t>
      </w:r>
      <w:r w:rsidR="006354F3" w:rsidRPr="00DB5CEF">
        <w:rPr>
          <w:b/>
          <w:highlight w:val="yellow"/>
        </w:rPr>
        <w:t>0,</w:t>
      </w:r>
      <w:r w:rsidR="0042255D">
        <w:rPr>
          <w:b/>
          <w:highlight w:val="yellow"/>
        </w:rPr>
        <w:t>2940</w:t>
      </w:r>
      <w:bookmarkStart w:id="0" w:name="_GoBack"/>
      <w:bookmarkEnd w:id="0"/>
      <w:r w:rsidR="006354F3" w:rsidRPr="00DB5CEF">
        <w:rPr>
          <w:b/>
          <w:highlight w:val="yellow"/>
        </w:rPr>
        <w:t xml:space="preserve"> €/</w:t>
      </w:r>
      <w:proofErr w:type="spellStart"/>
      <w:r w:rsidR="006354F3" w:rsidRPr="00DB5CEF">
        <w:rPr>
          <w:b/>
          <w:highlight w:val="yellow"/>
        </w:rPr>
        <w:t>Smc</w:t>
      </w:r>
      <w:proofErr w:type="spellEnd"/>
      <w:r w:rsidR="006354F3" w:rsidRPr="006354F3">
        <w:rPr>
          <w:highlight w:val="yellow"/>
        </w:rPr>
        <w:t xml:space="preserve">                       </w:t>
      </w:r>
      <w:r w:rsidR="006354F3">
        <w:rPr>
          <w:highlight w:val="yellow"/>
        </w:rPr>
        <w:t xml:space="preserve"> </w:t>
      </w:r>
      <w:r w:rsidR="006354F3" w:rsidRPr="006354F3">
        <w:rPr>
          <w:highlight w:val="yellow"/>
        </w:rPr>
        <w:t>34%</w:t>
      </w:r>
    </w:p>
    <w:p w:rsidR="006354F3" w:rsidRDefault="006354F3" w:rsidP="006354F3">
      <w:r w:rsidRPr="006354F3">
        <w:rPr>
          <w:highlight w:val="yellow"/>
        </w:rPr>
        <w:t>Spesa per il trasporto del gas naturale e la gestione del contatore e Spesa per oneri di sistema &gt;&gt;&gt;&gt;&gt;&gt; definiti da ARERA                               41%</w:t>
      </w:r>
    </w:p>
    <w:p w:rsidR="002C1186" w:rsidRDefault="000B5488" w:rsidP="000B5488">
      <w:pPr>
        <w:jc w:val="both"/>
      </w:pPr>
      <w:r w:rsidRPr="000B5488">
        <w:rPr>
          <w:b/>
        </w:rPr>
        <w:lastRenderedPageBreak/>
        <w:t>Modalità di rinnovo dei corrispettivi</w:t>
      </w:r>
      <w:r>
        <w:t xml:space="preserve"> - Con un anticipo di almeno tre mesi rispetto alla scadenza del loro periodo di validità, considerandosi decorrente tale termine dal primo giorno del mese successivo a quello di ricevimento della comunicazione da parte del cliente, VUS COM comunicherà in forma scritta al Cliente il prezzo di rinnovo che sarà pari al prezzo previsto dall’offerta PLACET a prezzo </w:t>
      </w:r>
      <w:r w:rsidR="005B7128">
        <w:t>FISSO</w:t>
      </w:r>
      <w:r>
        <w:t xml:space="preserve"> applicabile al Cliente e commercializzata da VUS COM nel momento in cui viene effettuata la comunicazione, che si intenderà ricevuta dal Cliente trascorsi 10 giorni dall’invio, salvo prova contraria. La comunicazione non sarà trasmessa all’interno della fattura o congiuntamente a essa. Resta salva la facoltà del Cliente di esercitare il recesso dal Contratto con le modalità e nei termini indicati nella predetta comunicazione. In assenza di recesso da parte del Cliente le nuove condizioni economiche si considerano accettate. Qualora VUS COM  non effettui tempestivamente la comunicazione di rinnovo di cui sopra, si applica, per i 12 mesi successivi, il prezzo minore tra quello previsto dalle condizioni economiche in scadenza e quello previsto dall’offerta PLACET a prezzo </w:t>
      </w:r>
      <w:r w:rsidR="005B7128">
        <w:t>FISSO</w:t>
      </w:r>
      <w:r>
        <w:t xml:space="preserve"> applicabile al Cliente e commercializzata da VUS COM alla data di scadenza delle precedenti condizioni economiche. Qualora VUS COM non rispetti le modalità e il termine per la predetta comunicazione e il prezzo applicato sulla base di quanto sopra sia diverso dal prezzo in scadenza, il Cliente finale ha diritto ad un indennizzo automatico pari a 30 euro. </w:t>
      </w:r>
    </w:p>
    <w:p w:rsidR="000B5488" w:rsidRDefault="000B5488" w:rsidP="000B5488">
      <w:pPr>
        <w:jc w:val="both"/>
      </w:pPr>
      <w:r w:rsidRPr="002C1186">
        <w:rPr>
          <w:b/>
        </w:rPr>
        <w:t>Sconto per bolletta elettronica</w:t>
      </w:r>
      <w:r>
        <w:t xml:space="preserve"> - Qualora il Cliente scelga l'addebito automatico diretto in conto corrente SEPA (</w:t>
      </w:r>
      <w:proofErr w:type="spellStart"/>
      <w:r>
        <w:t>Sepa</w:t>
      </w:r>
      <w:proofErr w:type="spellEnd"/>
      <w:r>
        <w:t xml:space="preserve"> Core Direct </w:t>
      </w:r>
      <w:proofErr w:type="spellStart"/>
      <w:r>
        <w:t>Debit</w:t>
      </w:r>
      <w:proofErr w:type="spellEnd"/>
      <w:r>
        <w:t xml:space="preserve">) come modalità di pagamento e la bolletta elettronica come modalità di ricezione della bolletta, </w:t>
      </w:r>
      <w:r w:rsidR="002C1186">
        <w:t xml:space="preserve">VUS COM </w:t>
      </w:r>
      <w:r>
        <w:t xml:space="preserve"> riconoscerà al Cliente uno sconto in fattura pari a 5,40 €/anno.</w:t>
      </w:r>
    </w:p>
    <w:p w:rsidR="002C1186" w:rsidRDefault="00517231" w:rsidP="000B5488">
      <w:pPr>
        <w:jc w:val="both"/>
      </w:pPr>
      <w:r w:rsidRPr="00DE7B47">
        <w:rPr>
          <w:b/>
        </w:rPr>
        <w:t>Ulteriori caratteristiche del Contratto</w:t>
      </w:r>
      <w:r w:rsidRPr="00DE7B47">
        <w:t xml:space="preserve"> - Ad integrazione delle CGC si specifica che: - il Cliente dà il consenso </w:t>
      </w:r>
      <w:proofErr w:type="spellStart"/>
      <w:r w:rsidRPr="00DE7B47">
        <w:t>affinchè</w:t>
      </w:r>
      <w:proofErr w:type="spellEnd"/>
      <w:r w:rsidRPr="00DE7B47">
        <w:t xml:space="preserve"> il modulo per la presentazione dei reclami, inclusi quelli per fatturazione di importi anomali, sia reso disponibile, in versione stampabile, esclusivamente sul portale </w:t>
      </w:r>
      <w:r w:rsidR="006C73E4">
        <w:t>VUS COM</w:t>
      </w:r>
      <w:r w:rsidRPr="00DE7B47">
        <w:t xml:space="preserve">; - ad integrazione di quanto previsto dall’Art. 3 delle CGC relativamente all’accettazione e al perfezionamento del contratto, si precisa che anche l’eventuale rifiuto, da parte di </w:t>
      </w:r>
      <w:r w:rsidR="0025667A" w:rsidRPr="00DE7B47">
        <w:t>VUS COM</w:t>
      </w:r>
      <w:r w:rsidRPr="00DE7B47">
        <w:t xml:space="preserve">, della proposta di Contratto sarà comunicato per iscritto all’indirizzo indicato dal Cliente entro 45 giorni dalla sottoscrizione del Modulo; decorso inutilmente il predetto termine, la proposta di Contratto si intende revocata; -in deroga all’Art. 5 delle CGC, il corrispettivo di importo pari al contributo in quota fissa previsto dall’art. 11 dell’Allegato A della Del. ARERA 301/12, attualmente pari a 23 euro IVA esclusa, viene applicato nel solo caso di Voltura; -in deroga all’Art.5 delle CGC, la bolletta sarà emessa in formato digitale e sarà consultabile sul Portale previa registrazione da parte del Cliente; in caso di mancata registrazione al Portale o in assenza di un indirizzo mail valido, </w:t>
      </w:r>
      <w:r w:rsidR="0025667A" w:rsidRPr="00DE7B47">
        <w:t>VUS COM</w:t>
      </w:r>
      <w:r w:rsidRPr="00DE7B47">
        <w:t xml:space="preserve"> invierà la bolletta in formato cartaceo; in qualunque momento il Cliente potrà richiedere la bolletta cartacea; - in deroga all’Art.8.2 delle CGC, qualora il Cliente non rispetti il termine per il pagamento della fattura, sarà applicato un interesse di mora su base annua pari al tasso definito dall’articolo 2 del </w:t>
      </w:r>
      <w:proofErr w:type="spellStart"/>
      <w:r w:rsidRPr="00DE7B47">
        <w:t>Dlgs</w:t>
      </w:r>
      <w:proofErr w:type="spellEnd"/>
      <w:r w:rsidRPr="00DE7B47">
        <w:t xml:space="preserve"> n. 213/98 aumentato di 3,5 punti percentuali. -in deroga all’Art.9 delle CGC, non si applica la previsione per un Cliente non domestico in procedura concorsuale relativa al deposito cauzionale fruttifero; -in deroga all’Art.9 delle CGC, la previsione sulla domiciliazione che comporta la restituzione del deposito cauzionale si applica ai soli clienti domestici indipendentemente dal consumo; -in deroga all’Art. 9 delle CGC, per il Gas, </w:t>
      </w:r>
      <w:r w:rsidR="0025667A" w:rsidRPr="00DE7B47">
        <w:t>VUS COM</w:t>
      </w:r>
      <w:r w:rsidRPr="00DE7B47">
        <w:t xml:space="preserve"> nella prima fattura utile addebiterà al Cliente a titolo di deposito cauzionale un importo calcolato in funzione del consumo annuo pari a: 30 euro da 0 a 500 </w:t>
      </w:r>
      <w:proofErr w:type="spellStart"/>
      <w:r w:rsidRPr="00DE7B47">
        <w:t>Smc</w:t>
      </w:r>
      <w:proofErr w:type="spellEnd"/>
      <w:r w:rsidRPr="00DE7B47">
        <w:t xml:space="preserve">; 90 euro da 501 a 1.500 </w:t>
      </w:r>
      <w:proofErr w:type="spellStart"/>
      <w:r w:rsidRPr="00DE7B47">
        <w:t>Smc</w:t>
      </w:r>
      <w:proofErr w:type="spellEnd"/>
      <w:r w:rsidRPr="00DE7B47">
        <w:t xml:space="preserve">; 150 euro da 1.501 a 2.500 </w:t>
      </w:r>
      <w:proofErr w:type="spellStart"/>
      <w:r w:rsidRPr="00DE7B47">
        <w:t>Smc</w:t>
      </w:r>
      <w:proofErr w:type="spellEnd"/>
      <w:r w:rsidRPr="00DE7B47">
        <w:t xml:space="preserve">; 300 euro da 2.501 a 5.000 </w:t>
      </w:r>
      <w:proofErr w:type="spellStart"/>
      <w:r w:rsidRPr="00DE7B47">
        <w:t>Smc</w:t>
      </w:r>
      <w:proofErr w:type="spellEnd"/>
      <w:r w:rsidRPr="00DE7B47">
        <w:t xml:space="preserve">; il valore di una mensilità di consumo medio annuo attribuibile al Cliente al netto delle imposte per consumi superiori a 5.000 </w:t>
      </w:r>
      <w:proofErr w:type="spellStart"/>
      <w:r w:rsidRPr="00DE7B47">
        <w:t>Smc</w:t>
      </w:r>
      <w:proofErr w:type="spellEnd"/>
      <w:r w:rsidRPr="00DE7B47">
        <w:t xml:space="preserve">; se il Cliente è titolare di Bonus Sociale, il deposito cauzionale ammonta a 25 euro fino a un consumo annuo di 500 </w:t>
      </w:r>
      <w:proofErr w:type="spellStart"/>
      <w:r w:rsidRPr="00DE7B47">
        <w:t>Smc</w:t>
      </w:r>
      <w:proofErr w:type="spellEnd"/>
      <w:r w:rsidRPr="00DE7B47">
        <w:t xml:space="preserve">; 77 euro per un consumo annuo da 501 a 5000 </w:t>
      </w:r>
      <w:proofErr w:type="spellStart"/>
      <w:r w:rsidRPr="00DE7B47">
        <w:t>Smc</w:t>
      </w:r>
      <w:proofErr w:type="spellEnd"/>
      <w:r w:rsidRPr="00DE7B47">
        <w:t xml:space="preserve">; il valore di una mensilità di consumo medio annuo attribuibile al </w:t>
      </w:r>
      <w:r w:rsidRPr="00DE7B47">
        <w:lastRenderedPageBreak/>
        <w:t xml:space="preserve">Cliente al netto delle imposte per consumi annui superiori a 5000 </w:t>
      </w:r>
      <w:proofErr w:type="spellStart"/>
      <w:r w:rsidRPr="00DE7B47">
        <w:t>Smc</w:t>
      </w:r>
      <w:proofErr w:type="spellEnd"/>
      <w:r w:rsidRPr="00DE7B47">
        <w:t>; il deposito cauzionale è raddoppiato nei casi di morosità previsti dal comma 5.3 del TIVG. In ogni caso,</w:t>
      </w:r>
      <w:r w:rsidR="0025667A" w:rsidRPr="00DE7B47">
        <w:t xml:space="preserve"> </w:t>
      </w:r>
      <w:r w:rsidRPr="00DE7B47">
        <w:t>si specifica che il Contratto recepisce integralmente la disciplina delle Offerte PLACET di cui all’Allegato A della Delibera ARERA 555/17/R/</w:t>
      </w:r>
      <w:proofErr w:type="spellStart"/>
      <w:r w:rsidRPr="00DE7B47">
        <w:t>com</w:t>
      </w:r>
      <w:proofErr w:type="spellEnd"/>
    </w:p>
    <w:p w:rsidR="0025667A" w:rsidRDefault="0025667A" w:rsidP="000B5488">
      <w:pPr>
        <w:jc w:val="both"/>
      </w:pPr>
    </w:p>
    <w:sectPr w:rsidR="0025667A" w:rsidSect="002E7B11">
      <w:headerReference w:type="default" r:id="rId8"/>
      <w:pgSz w:w="11906" w:h="16838"/>
      <w:pgMar w:top="22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E4" w:rsidRDefault="006C73E4" w:rsidP="002E7B11">
      <w:pPr>
        <w:spacing w:after="0" w:line="240" w:lineRule="auto"/>
      </w:pPr>
      <w:r>
        <w:separator/>
      </w:r>
    </w:p>
  </w:endnote>
  <w:endnote w:type="continuationSeparator" w:id="0">
    <w:p w:rsidR="006C73E4" w:rsidRDefault="006C73E4" w:rsidP="002E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E4" w:rsidRDefault="006C73E4" w:rsidP="002E7B11">
      <w:pPr>
        <w:spacing w:after="0" w:line="240" w:lineRule="auto"/>
      </w:pPr>
      <w:r>
        <w:separator/>
      </w:r>
    </w:p>
  </w:footnote>
  <w:footnote w:type="continuationSeparator" w:id="0">
    <w:p w:rsidR="006C73E4" w:rsidRDefault="006C73E4" w:rsidP="002E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E4" w:rsidRDefault="006C73E4">
    <w:pPr>
      <w:pStyle w:val="Intestazione"/>
    </w:pPr>
    <w:r>
      <w:rPr>
        <w:noProof/>
        <w:lang w:eastAsia="it-IT"/>
      </w:rPr>
      <w:drawing>
        <wp:inline distT="0" distB="0" distL="0" distR="0" wp14:anchorId="4F4D6E17" wp14:editId="688559A5">
          <wp:extent cx="6584315" cy="7010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395"/>
    <w:multiLevelType w:val="hybridMultilevel"/>
    <w:tmpl w:val="86A60A78"/>
    <w:lvl w:ilvl="0" w:tplc="5CB892D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A2"/>
    <w:rsid w:val="000B5488"/>
    <w:rsid w:val="0025667A"/>
    <w:rsid w:val="002C1186"/>
    <w:rsid w:val="002C668C"/>
    <w:rsid w:val="002E7B11"/>
    <w:rsid w:val="003703A2"/>
    <w:rsid w:val="003E4567"/>
    <w:rsid w:val="0042255D"/>
    <w:rsid w:val="00517231"/>
    <w:rsid w:val="005B7128"/>
    <w:rsid w:val="006354F3"/>
    <w:rsid w:val="006C73E4"/>
    <w:rsid w:val="0070360D"/>
    <w:rsid w:val="00713247"/>
    <w:rsid w:val="00A40205"/>
    <w:rsid w:val="00C217A9"/>
    <w:rsid w:val="00DB5CEF"/>
    <w:rsid w:val="00DE7B47"/>
    <w:rsid w:val="00E20489"/>
    <w:rsid w:val="00F20326"/>
    <w:rsid w:val="00F72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CEF"/>
    <w:pPr>
      <w:ind w:left="720"/>
      <w:contextualSpacing/>
    </w:pPr>
  </w:style>
  <w:style w:type="paragraph" w:styleId="Intestazione">
    <w:name w:val="header"/>
    <w:basedOn w:val="Normale"/>
    <w:link w:val="IntestazioneCarattere"/>
    <w:uiPriority w:val="99"/>
    <w:unhideWhenUsed/>
    <w:rsid w:val="002E7B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B11"/>
  </w:style>
  <w:style w:type="paragraph" w:styleId="Pidipagina">
    <w:name w:val="footer"/>
    <w:basedOn w:val="Normale"/>
    <w:link w:val="PidipaginaCarattere"/>
    <w:uiPriority w:val="99"/>
    <w:unhideWhenUsed/>
    <w:rsid w:val="002E7B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B11"/>
  </w:style>
  <w:style w:type="paragraph" w:styleId="Testofumetto">
    <w:name w:val="Balloon Text"/>
    <w:basedOn w:val="Normale"/>
    <w:link w:val="TestofumettoCarattere"/>
    <w:uiPriority w:val="99"/>
    <w:semiHidden/>
    <w:unhideWhenUsed/>
    <w:rsid w:val="002E7B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CEF"/>
    <w:pPr>
      <w:ind w:left="720"/>
      <w:contextualSpacing/>
    </w:pPr>
  </w:style>
  <w:style w:type="paragraph" w:styleId="Intestazione">
    <w:name w:val="header"/>
    <w:basedOn w:val="Normale"/>
    <w:link w:val="IntestazioneCarattere"/>
    <w:uiPriority w:val="99"/>
    <w:unhideWhenUsed/>
    <w:rsid w:val="002E7B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B11"/>
  </w:style>
  <w:style w:type="paragraph" w:styleId="Pidipagina">
    <w:name w:val="footer"/>
    <w:basedOn w:val="Normale"/>
    <w:link w:val="PidipaginaCarattere"/>
    <w:uiPriority w:val="99"/>
    <w:unhideWhenUsed/>
    <w:rsid w:val="002E7B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B11"/>
  </w:style>
  <w:style w:type="paragraph" w:styleId="Testofumetto">
    <w:name w:val="Balloon Text"/>
    <w:basedOn w:val="Normale"/>
    <w:link w:val="TestofumettoCarattere"/>
    <w:uiPriority w:val="99"/>
    <w:semiHidden/>
    <w:unhideWhenUsed/>
    <w:rsid w:val="002E7B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1234</Words>
  <Characters>7038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CC. Cecchini</dc:creator>
  <cp:lastModifiedBy>Claudio CC. Cecchini</cp:lastModifiedBy>
  <cp:revision>8</cp:revision>
  <cp:lastPrinted>2018-03-29T14:48:00Z</cp:lastPrinted>
  <dcterms:created xsi:type="dcterms:W3CDTF">2018-03-01T15:56:00Z</dcterms:created>
  <dcterms:modified xsi:type="dcterms:W3CDTF">2018-07-16T10:30:00Z</dcterms:modified>
</cp:coreProperties>
</file>